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D99B1" w14:textId="77777777" w:rsidR="00F17524" w:rsidRPr="001F6170" w:rsidRDefault="00F17524" w:rsidP="00F17524">
      <w:pPr>
        <w:pStyle w:val="TitleMain"/>
      </w:pPr>
      <w:r w:rsidRPr="001F6170">
        <w:drawing>
          <wp:anchor distT="0" distB="0" distL="0" distR="107950" simplePos="0" relativeHeight="251659264" behindDoc="0" locked="0" layoutInCell="1" allowOverlap="1" wp14:anchorId="747C4B19" wp14:editId="154CC86A">
            <wp:simplePos x="0" y="0"/>
            <wp:positionH relativeFrom="margin">
              <wp:posOffset>0</wp:posOffset>
            </wp:positionH>
            <wp:positionV relativeFrom="paragraph">
              <wp:posOffset>0</wp:posOffset>
            </wp:positionV>
            <wp:extent cx="1375200" cy="1771200"/>
            <wp:effectExtent l="0" t="0" r="0" b="635"/>
            <wp:wrapSquare wrapText="right"/>
            <wp:docPr id="24868720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8687202" name="image1.png">
                      <a:extLst>
                        <a:ext uri="{C183D7F6-B498-43B3-948B-1728B52AA6E4}">
                          <adec:decorative xmlns:adec="http://schemas.microsoft.com/office/drawing/2017/decorative" val="1"/>
                        </a:ext>
                      </a:extLst>
                    </pic:cNvPr>
                    <pic:cNvPicPr/>
                  </pic:nvPicPr>
                  <pic:blipFill>
                    <a:blip r:embed="rId7">
                      <a:lum/>
                      <a:alphaModFix/>
                    </a:blip>
                    <a:srcRect/>
                    <a:stretch>
                      <a:fillRect/>
                    </a:stretch>
                  </pic:blipFill>
                  <pic:spPr>
                    <a:xfrm>
                      <a:off x="0" y="0"/>
                      <a:ext cx="1375200" cy="17712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1F6170">
        <w:t>Einheit 9 – Kapitel 13–16</w:t>
      </w:r>
    </w:p>
    <w:p w14:paraId="6C3DE0E9" w14:textId="13A19FDB" w:rsidR="00F17524" w:rsidRPr="001F6170" w:rsidRDefault="00F17524" w:rsidP="00F17524">
      <w:pPr>
        <w:pStyle w:val="Title"/>
        <w:rPr>
          <w:noProof w:val="0"/>
        </w:rPr>
      </w:pPr>
      <w:r w:rsidRPr="001F6170">
        <w:rPr>
          <w:noProof w:val="0"/>
        </w:rPr>
        <w:t>Gelernte Fähigkeiten in die Tat umsetzen</w:t>
      </w:r>
    </w:p>
    <w:p w14:paraId="1CEA31AC" w14:textId="77777777" w:rsidR="00F17524" w:rsidRPr="00242660" w:rsidRDefault="00F17524" w:rsidP="00242660">
      <w:pPr>
        <w:pStyle w:val="Subtitle"/>
        <w:rPr>
          <w:rStyle w:val="Strong"/>
          <w:b/>
          <w:bCs/>
        </w:rPr>
      </w:pPr>
      <w:r w:rsidRPr="00242660">
        <w:rPr>
          <w:rStyle w:val="Strong"/>
          <w:b/>
          <w:bCs/>
        </w:rPr>
        <w:t xml:space="preserve">Was ist </w:t>
      </w:r>
      <w:r w:rsidRPr="00242660">
        <w:rPr>
          <w:rStyle w:val="Emphasis"/>
        </w:rPr>
        <w:t>dein</w:t>
      </w:r>
      <w:r w:rsidRPr="00242660">
        <w:rPr>
          <w:rStyle w:val="Strong"/>
          <w:b/>
          <w:bCs/>
        </w:rPr>
        <w:t xml:space="preserve"> Quidditch?</w:t>
      </w:r>
    </w:p>
    <w:p w14:paraId="5F806408" w14:textId="256AF765" w:rsidR="00F17524" w:rsidRPr="00242660" w:rsidRDefault="00F17524" w:rsidP="00242660">
      <w:pPr>
        <w:pStyle w:val="Subsubtitle"/>
      </w:pPr>
      <w:r w:rsidRPr="00242660">
        <w:rPr>
          <w:rStyle w:val="Emphasis"/>
          <w:i w:val="0"/>
          <w:iCs w:val="0"/>
        </w:rPr>
        <w:t>Vorgeschlagene Dauer:</w:t>
      </w:r>
      <w:r w:rsidRPr="00242660">
        <w:rPr>
          <w:rStyle w:val="Emphasis"/>
          <w:i w:val="0"/>
          <w:iCs w:val="0"/>
        </w:rPr>
        <w:tab/>
        <w:t xml:space="preserve">1–2 </w:t>
      </w:r>
      <w:r w:rsidRPr="00242660">
        <w:t>Schulstunden, plus Nachbereitung</w:t>
      </w:r>
    </w:p>
    <w:p w14:paraId="5B8A6ADC" w14:textId="77777777" w:rsidR="00F17524" w:rsidRPr="001F6170" w:rsidRDefault="00F17524" w:rsidP="00F17524">
      <w:pPr>
        <w:pStyle w:val="Heading2"/>
      </w:pPr>
      <w:r w:rsidRPr="001F6170">
        <w:t>Ziele der Einheit</w:t>
      </w:r>
    </w:p>
    <w:p w14:paraId="68325F99" w14:textId="77777777" w:rsidR="00F17524" w:rsidRPr="001F6170" w:rsidRDefault="00F17524" w:rsidP="00F17524">
      <w:pPr>
        <w:pStyle w:val="Textbody"/>
      </w:pPr>
      <w:r w:rsidRPr="001F6170">
        <w:t xml:space="preserve">Weitere Erkundung positiver Bewältigungsstrategien und bereits eingeführter KVT-Fähigkeiten, die die Schüler einsetzen können, wenn sie Probleme haben.  </w:t>
      </w:r>
    </w:p>
    <w:p w14:paraId="6F8A5D13" w14:textId="77777777" w:rsidR="00F17524" w:rsidRPr="001F6170" w:rsidRDefault="00F17524" w:rsidP="00F17524">
      <w:pPr>
        <w:pStyle w:val="Textbody"/>
      </w:pPr>
      <w:r w:rsidRPr="001F6170">
        <w:t xml:space="preserve">Fahren Sie damit fort, psychische Probleme zu normalisieren (wir alle haben gelegentlich mit unserer psychischen Gesundheit zu kämpfen, genauso wie wir alle manchmal mit unserer körperlichen Gesundheit zu kämpfen haben, z. B. bei einer Erkältung), und das Wissen zu stärken, dass wir alle Wege zur Resilienz finden können, genau wie Harry. </w:t>
      </w:r>
    </w:p>
    <w:p w14:paraId="2A21A2B5" w14:textId="77777777" w:rsidR="00F17524" w:rsidRPr="001F6170" w:rsidRDefault="00F17524" w:rsidP="00F17524">
      <w:pPr>
        <w:pStyle w:val="Textbody"/>
      </w:pPr>
      <w:r w:rsidRPr="001F6170">
        <w:t>Geben Sie den Schüler*innen die Möglichkeit, sich über Bewältigungsstrategien mit Gleichaltrigen auszutauschen und von ihnen zu lernen.</w:t>
      </w:r>
    </w:p>
    <w:p w14:paraId="676BB685" w14:textId="77777777" w:rsidR="00F17524" w:rsidRPr="001F6170" w:rsidRDefault="00F17524" w:rsidP="00F17524">
      <w:pPr>
        <w:pStyle w:val="Textbody"/>
      </w:pPr>
      <w:r w:rsidRPr="001F6170">
        <w:t>Betonen Sie, wie wichtig realistische und erreichbare Ziele bei der Umsetzung der erlernten Strategien sind.</w:t>
      </w:r>
    </w:p>
    <w:p w14:paraId="2A45F212" w14:textId="77777777" w:rsidR="00F17524" w:rsidRPr="001F6170" w:rsidRDefault="00F17524" w:rsidP="00F17524">
      <w:pPr>
        <w:pStyle w:val="Heading2"/>
      </w:pPr>
      <w:r w:rsidRPr="001F6170">
        <w:t>Zusammenfassung von Aufgaben/Aktivitäten</w:t>
      </w:r>
    </w:p>
    <w:p w14:paraId="586469A4" w14:textId="77777777" w:rsidR="00F17524" w:rsidRPr="001F6170" w:rsidRDefault="00F17524" w:rsidP="00F17524">
      <w:pPr>
        <w:pStyle w:val="Heading3"/>
      </w:pPr>
      <w:r w:rsidRPr="001F6170">
        <w:t>Vorgeschlagene Aktivitäten</w:t>
      </w:r>
    </w:p>
    <w:p w14:paraId="1F358EE6" w14:textId="77777777" w:rsidR="00F17524" w:rsidRPr="001F6170" w:rsidRDefault="00F17524" w:rsidP="00F17524">
      <w:pPr>
        <w:pStyle w:val="ListParagraph"/>
      </w:pPr>
      <w:r w:rsidRPr="001F6170">
        <w:t>Lesen Sie die Kapitel 13–16, bevor Sie mit dieser Lektion beginnen (gegebenenfalls können auch Filmausschnitte einfügt werden).</w:t>
      </w:r>
    </w:p>
    <w:p w14:paraId="64B7CA9F" w14:textId="77777777" w:rsidR="00F17524" w:rsidRPr="001F6170" w:rsidRDefault="00F17524" w:rsidP="00F17524">
      <w:pPr>
        <w:pStyle w:val="ListParagraph"/>
      </w:pPr>
      <w:r w:rsidRPr="001F6170">
        <w:t>Erklären Sie den Schüler*innen, dass Harry Potters Liebe zum Quidditch ihm hilft, wenn er Probleme hat. Dies ist ein weiteres Beispiel für eine gesunde Bewältigungsstrategie: Sport.</w:t>
      </w:r>
    </w:p>
    <w:p w14:paraId="79E51105" w14:textId="77777777" w:rsidR="00F17524" w:rsidRPr="001F6170" w:rsidRDefault="00F17524" w:rsidP="00F17524">
      <w:pPr>
        <w:pStyle w:val="ListParagraph"/>
      </w:pPr>
      <w:r w:rsidRPr="001F6170">
        <w:t>Bitten Sie die Schüler*innen, die Hand zu heben, wenn sie sich als „sportliche Menschen“ bezeichnen würden (d.h. wenn sie gerne Sportarten wie Fußball, Schwimmen, Basketball usw. spielen).</w:t>
      </w:r>
    </w:p>
    <w:p w14:paraId="63CAF628" w14:textId="77777777" w:rsidR="00F17524" w:rsidRPr="001F6170" w:rsidRDefault="00F17524" w:rsidP="00F17524">
      <w:pPr>
        <w:pStyle w:val="ListParagraph"/>
      </w:pPr>
      <w:r w:rsidRPr="001F6170">
        <w:t>Sobald die Schüler*innen die Gelegenheit hatten, ihre Hände zu heben, sagen Sie: „Auf 3 möchte ich, dass ihr alle eure Lieblingssportart ruft: 1, 2, 3“.</w:t>
      </w:r>
    </w:p>
    <w:p w14:paraId="7C525AC8" w14:textId="2BE7498F" w:rsidR="00F17524" w:rsidRPr="001F6170" w:rsidRDefault="00F17524" w:rsidP="00F17524">
      <w:pPr>
        <w:pStyle w:val="ListParagraph"/>
      </w:pPr>
      <w:r w:rsidRPr="001F6170">
        <w:t xml:space="preserve">Fragen Sie dann die Gruppe: </w:t>
      </w:r>
      <w:r w:rsidRPr="0012598E">
        <w:rPr>
          <w:i/>
          <w:iCs/>
        </w:rPr>
        <w:t>Wer spielt ein Instrument?</w:t>
      </w:r>
      <w:r w:rsidRPr="001F6170">
        <w:t xml:space="preserve"> Formulieren Sie die Fragen so, dass Sie auch ruhigere Schüler*innen einbeziehen und </w:t>
      </w:r>
      <w:r w:rsidR="0012598E">
        <w:t xml:space="preserve">deren </w:t>
      </w:r>
      <w:r w:rsidRPr="001F6170">
        <w:t>Beispiele</w:t>
      </w:r>
      <w:r w:rsidR="0012598E">
        <w:t xml:space="preserve"> zur Geltung bringen:</w:t>
      </w:r>
      <w:r w:rsidRPr="001F6170">
        <w:t xml:space="preserve"> </w:t>
      </w:r>
      <w:r w:rsidRPr="0012598E">
        <w:rPr>
          <w:i/>
          <w:iCs/>
        </w:rPr>
        <w:t>Wer sind unsere Künstler?</w:t>
      </w:r>
      <w:r w:rsidR="0012598E" w:rsidRPr="0012598E">
        <w:rPr>
          <w:i/>
          <w:iCs/>
        </w:rPr>
        <w:t xml:space="preserve"> </w:t>
      </w:r>
      <w:r w:rsidRPr="0012598E">
        <w:rPr>
          <w:i/>
          <w:iCs/>
        </w:rPr>
        <w:t xml:space="preserve">Wer zeichnet oder </w:t>
      </w:r>
      <w:r w:rsidRPr="0012598E">
        <w:rPr>
          <w:i/>
          <w:iCs/>
        </w:rPr>
        <w:lastRenderedPageBreak/>
        <w:t>malt gerne?</w:t>
      </w:r>
      <w:r w:rsidR="0012598E">
        <w:rPr>
          <w:i/>
          <w:iCs/>
        </w:rPr>
        <w:t xml:space="preserve"> </w:t>
      </w:r>
      <w:r w:rsidRPr="0012598E">
        <w:rPr>
          <w:i/>
          <w:iCs/>
        </w:rPr>
        <w:t>Wer sind unsere Schriftsteller?</w:t>
      </w:r>
      <w:r w:rsidR="0012598E">
        <w:rPr>
          <w:i/>
          <w:iCs/>
        </w:rPr>
        <w:t xml:space="preserve"> </w:t>
      </w:r>
      <w:r w:rsidRPr="0012598E">
        <w:rPr>
          <w:i/>
          <w:iCs/>
        </w:rPr>
        <w:t>Wer geht gerne wandern, zelten und ist gerne im Freien?</w:t>
      </w:r>
    </w:p>
    <w:p w14:paraId="7E71AD54" w14:textId="77777777" w:rsidR="00F17524" w:rsidRPr="001F6170" w:rsidRDefault="00F17524" w:rsidP="00F17524">
      <w:pPr>
        <w:pStyle w:val="ListParagraph"/>
      </w:pPr>
      <w:r w:rsidRPr="001F6170">
        <w:t>Fahren Sie damit fort, eine Reihe von gesunden Aktivitäten zu nennen und Antworten zu sammeln. Je breiter die Palette der Aktivitäten ist, desto mehr fühlen sich die Schüler*innen einbezogen: z. B. Zeit allein, Schlafen, Lesen, Videospiele, Tiere usw.</w:t>
      </w:r>
    </w:p>
    <w:p w14:paraId="6A136753" w14:textId="77777777" w:rsidR="00F17524" w:rsidRPr="001F6170" w:rsidRDefault="00F17524" w:rsidP="00F17524">
      <w:pPr>
        <w:pStyle w:val="ListParagraph"/>
      </w:pPr>
      <w:r w:rsidRPr="001F6170">
        <w:t>Fragen Sie die Schüler*innen: „Was gefällt uns an diesen Aktivitäten so gut oder was glaubt ihr, hilft uns bei der Bewältigung von Stress, Angst, Traurigkeit usw.?“</w:t>
      </w:r>
    </w:p>
    <w:p w14:paraId="056FC614" w14:textId="77777777" w:rsidR="00F17524" w:rsidRPr="001F6170" w:rsidRDefault="00F17524" w:rsidP="00F17524">
      <w:pPr>
        <w:pStyle w:val="ListParagraph"/>
      </w:pPr>
      <w:r w:rsidRPr="001F6170">
        <w:t>Rufen Sie die Personen auf, die sich gemeldet haben, damit sie erzählen können, warum diese Aktivitäten ihnen helfen, belastbar zu sein. Die Schüler*innen könnten sagen, dass die Aktivitäten sie dazu bringen, alles andere zu vergessen und sich nur auf den Moment zu konzentrieren (z. B. ein Spiel zu spielen), oder sie könnten sagen, dass sie vom Teamgeist und dem gemeinsamen arbeiten profitieren, oder es könnte sein, dass sie einfach ein Talent haben und sich gut fühlen.</w:t>
      </w:r>
    </w:p>
    <w:p w14:paraId="2C0EA876" w14:textId="77777777" w:rsidR="00F17524" w:rsidRPr="001F6170" w:rsidRDefault="00F17524" w:rsidP="00F17524">
      <w:pPr>
        <w:pStyle w:val="Heading3"/>
      </w:pPr>
      <w:r w:rsidRPr="001F6170">
        <w:t>Planung der Lektion</w:t>
      </w:r>
    </w:p>
    <w:p w14:paraId="49617D60" w14:textId="77777777" w:rsidR="00F17524" w:rsidRPr="001F6170" w:rsidRDefault="00F17524" w:rsidP="00F17524">
      <w:pPr>
        <w:pStyle w:val="ListParagraph"/>
      </w:pPr>
      <w:r w:rsidRPr="001F6170">
        <w:t xml:space="preserve">Weisen Sie die Schüler*innen an, sich in kleine Gruppen von vier bis sieben Personen aufzuteilen (je nach Größe der Klasse).  </w:t>
      </w:r>
    </w:p>
    <w:p w14:paraId="3C13A2CB" w14:textId="77777777" w:rsidR="00F17524" w:rsidRPr="001F6170" w:rsidRDefault="00F17524" w:rsidP="00F17524">
      <w:pPr>
        <w:pStyle w:val="ListParagraph"/>
      </w:pPr>
      <w:r w:rsidRPr="001F6170">
        <w:t xml:space="preserve">Geben Sie jeder Gruppe ein großes Poster und eine Handvoll Stifte. </w:t>
      </w:r>
    </w:p>
    <w:p w14:paraId="58591432" w14:textId="77777777" w:rsidR="00F17524" w:rsidRPr="001F6170" w:rsidRDefault="00F17524" w:rsidP="00F17524">
      <w:pPr>
        <w:pStyle w:val="ListParagraph"/>
      </w:pPr>
      <w:r w:rsidRPr="001F6170">
        <w:t xml:space="preserve">Leiten Sie die Aktivität wie folgt ein: „In einer Minute werde ich Plakatpapier und Marker verteilen und wir werden uns in Gruppen von 4 bis 7 Personen aufteilen. Wenn ich das tue, möchte ich, dass ihr an all eure persönlichen Stärken (d.h. Dinge, die euch helfen, widerstandsfähig zu sein) sowie an eure gesunden Bewältigungsstrategien denkt. Schreibt in den nächsten fünf bis sechs Minuten so viele Stärken und gesunde Bewältigungsstrategien wie möglich auf. Es geht nicht darum, eine ordentliche Liste zu erstellen. Alle können gleichzeitig schreiben oder zeichnen. Nehmt eine Ecke des Plakatpapiers und beginnt zu schreiben oder zu zeichnen. Denkt darüber nach, welche Stärken und Bewältigungsstrategien euch helfen, schwierige Situationen zu überstehen und euch ein gutes Gefühl zu geben“. </w:t>
      </w:r>
    </w:p>
    <w:p w14:paraId="6C68A2D2" w14:textId="5E850FD6" w:rsidR="00F17524" w:rsidRPr="001F6170" w:rsidRDefault="00F17524" w:rsidP="00F17524">
      <w:pPr>
        <w:pStyle w:val="ListParagraph"/>
      </w:pPr>
      <w:r w:rsidRPr="001F6170">
        <w:t>Geben Sie der Gruppe ausreichend Zeit, um ihre Plakate mit ihren Stärken und Bewältigungsstrategien zu füllen (d.h. wenn die Gruppe mehr als 5 bis 6 Minuten braucht, dann geben Sie ihr mehr Zeit).</w:t>
      </w:r>
    </w:p>
    <w:p w14:paraId="053B3845" w14:textId="77777777" w:rsidR="00F17524" w:rsidRPr="001F6170" w:rsidRDefault="00F17524" w:rsidP="00F17524">
      <w:pPr>
        <w:pStyle w:val="ListParagraph"/>
      </w:pPr>
      <w:r w:rsidRPr="001F6170">
        <w:t>Informieren Sie die Gruppe, wenn noch eine Minute verbleibt. Wenn die Zeit abgelaufen ist, lassen Sie die Schüler*innen sich wieder in den Kreis setzen und als Gruppe ihre Poster für ihre Mitschüler*innen beschreiben.</w:t>
      </w:r>
    </w:p>
    <w:p w14:paraId="4BEA6AC9" w14:textId="77777777" w:rsidR="00F17524" w:rsidRPr="001F6170" w:rsidRDefault="00F17524" w:rsidP="00F17524">
      <w:pPr>
        <w:pStyle w:val="ListParagraph"/>
      </w:pPr>
      <w:r w:rsidRPr="001F6170">
        <w:lastRenderedPageBreak/>
        <w:t>Um die Aufgabe spaßiger zu gestalten und die Schüler noch mehr einzubinden, können Sie sie bitten, kreative Wege zu finden, um ihre Poster der Klasse zu präsentieren. Sie können sich einen Ausruf, einen Sketch, eine Pantomime, einen Interpretationstanz, einen Rap oder ein Lied usw. einfallen lassen, um die Aktivitäten auf ihrem Poster dem Rest der Gruppe auf lustige und energiegeladene Weise zu vermitteln.</w:t>
      </w:r>
    </w:p>
    <w:p w14:paraId="7B0F71F0" w14:textId="77777777" w:rsidR="00F17524" w:rsidRPr="001F6170" w:rsidRDefault="00F17524" w:rsidP="00F17524">
      <w:pPr>
        <w:pStyle w:val="Textbody"/>
        <w:ind w:left="708"/>
      </w:pPr>
      <w:r w:rsidRPr="001F6170">
        <w:t xml:space="preserve">Natürlich sollten Sie die Gruppe vorher einschätzen, um festzustellen, ob Ihre Klasse bei dieser Art der Präsentation engagiert ist. Wenn ein großer Teil der Gruppe ruhig und schüchtern ist, ist dies vielleicht nicht die beste Option. </w:t>
      </w:r>
    </w:p>
    <w:p w14:paraId="1A930AFC" w14:textId="77777777" w:rsidR="00F17524" w:rsidRPr="001F6170" w:rsidRDefault="00F17524" w:rsidP="00F17524">
      <w:pPr>
        <w:pStyle w:val="ListParagraph"/>
      </w:pPr>
      <w:r w:rsidRPr="001F6170">
        <w:t xml:space="preserve">Geben Sie den Schüler*innen weitere 10 Minuten Zeit, um ihre kreative Methode zur Vermittlung der Aktivitäten, die sie sich ausgedacht haben, vorzubereiten.  </w:t>
      </w:r>
    </w:p>
    <w:p w14:paraId="161936B2" w14:textId="77777777" w:rsidR="00F17524" w:rsidRPr="001F6170" w:rsidRDefault="00F17524" w:rsidP="00F17524">
      <w:pPr>
        <w:pStyle w:val="ListParagraph"/>
      </w:pPr>
      <w:r w:rsidRPr="001F6170">
        <w:t>Lassen Sie die Schüler*innen ihr Plakat an der Wand aufhängen und wechseln Sie dann zu einer anderen Gruppe, so dass alle Gruppen im Raum durchlaufen werden.</w:t>
      </w:r>
    </w:p>
    <w:p w14:paraId="605419A3" w14:textId="77777777" w:rsidR="00F17524" w:rsidRPr="001F6170" w:rsidRDefault="00F17524" w:rsidP="00F17524">
      <w:pPr>
        <w:pStyle w:val="ListParagraph"/>
      </w:pPr>
      <w:r w:rsidRPr="001F6170">
        <w:t>Lassen Sie die Schüler*innen im Anschluss an diese Aktivität darüber diskutieren, wie Harry alle Fähigkeiten, die er gelernt hat, eingesetzt hat, um seine Widerstandsfähigkeit zu verbessern.</w:t>
      </w:r>
    </w:p>
    <w:p w14:paraId="15686D4A" w14:textId="77777777" w:rsidR="00F17524" w:rsidRPr="001F6170" w:rsidRDefault="00F17524" w:rsidP="00F17524">
      <w:pPr>
        <w:pStyle w:val="Heading2"/>
      </w:pPr>
      <w:r w:rsidRPr="001F6170">
        <w:t>Materialien</w:t>
      </w:r>
    </w:p>
    <w:p w14:paraId="17394737" w14:textId="77777777" w:rsidR="00F17524" w:rsidRDefault="00F17524" w:rsidP="00F17524">
      <w:pPr>
        <w:pStyle w:val="TableListHeading"/>
        <w:sectPr w:rsidR="00F17524" w:rsidSect="00F17524">
          <w:pgSz w:w="11906" w:h="16838"/>
          <w:pgMar w:top="1418" w:right="1418" w:bottom="1134" w:left="1418" w:header="708" w:footer="708" w:gutter="0"/>
          <w:cols w:space="708"/>
          <w:docGrid w:linePitch="360"/>
        </w:sectPr>
      </w:pPr>
    </w:p>
    <w:p w14:paraId="38704CB8" w14:textId="77777777" w:rsidR="00F17524" w:rsidRPr="001F6170" w:rsidRDefault="00F17524" w:rsidP="00F17524">
      <w:pPr>
        <w:pStyle w:val="TableListHeading"/>
      </w:pPr>
      <w:r w:rsidRPr="001F6170">
        <w:t xml:space="preserve">Erforderlich: </w:t>
      </w:r>
    </w:p>
    <w:p w14:paraId="473C0682" w14:textId="5B67176D" w:rsidR="00F17524" w:rsidRPr="001F6170" w:rsidRDefault="00C24004" w:rsidP="00F17524">
      <w:pPr>
        <w:pStyle w:val="TableList"/>
        <w:numPr>
          <w:ilvl w:val="0"/>
          <w:numId w:val="1"/>
        </w:numPr>
      </w:pPr>
      <w:r>
        <w:t>Exemplare des Buches</w:t>
      </w:r>
    </w:p>
    <w:p w14:paraId="64D296FF" w14:textId="77777777" w:rsidR="00F17524" w:rsidRPr="001F6170" w:rsidRDefault="00F17524" w:rsidP="00F17524">
      <w:pPr>
        <w:pStyle w:val="TableList"/>
        <w:numPr>
          <w:ilvl w:val="0"/>
          <w:numId w:val="1"/>
        </w:numPr>
      </w:pPr>
      <w:r w:rsidRPr="001F6170">
        <w:t xml:space="preserve">Handouts (elektronisch oder in Papierform; siehe Anhang) </w:t>
      </w:r>
    </w:p>
    <w:p w14:paraId="7DF79272" w14:textId="77777777" w:rsidR="00F17524" w:rsidRPr="001F6170" w:rsidRDefault="00F17524" w:rsidP="00F17524">
      <w:pPr>
        <w:pStyle w:val="TableListHeading"/>
      </w:pPr>
      <w:r w:rsidRPr="001F6170">
        <w:t xml:space="preserve">Optional: </w:t>
      </w:r>
    </w:p>
    <w:p w14:paraId="1DBA0924" w14:textId="77777777" w:rsidR="00F17524" w:rsidRPr="001F6170" w:rsidRDefault="00F17524" w:rsidP="00F17524">
      <w:pPr>
        <w:pStyle w:val="TableList"/>
        <w:numPr>
          <w:ilvl w:val="0"/>
          <w:numId w:val="1"/>
        </w:numPr>
      </w:pPr>
      <w:r w:rsidRPr="001F6170">
        <w:t>Audioversionen vom Text</w:t>
      </w:r>
    </w:p>
    <w:p w14:paraId="04FD68F2" w14:textId="77777777" w:rsidR="00F17524" w:rsidRPr="001F6170" w:rsidRDefault="00F17524" w:rsidP="00F17524">
      <w:pPr>
        <w:pStyle w:val="TableList"/>
        <w:numPr>
          <w:ilvl w:val="0"/>
          <w:numId w:val="1"/>
        </w:numPr>
      </w:pPr>
      <w:r w:rsidRPr="001F6170">
        <w:t xml:space="preserve">Ausschnitte vom Film </w:t>
      </w:r>
    </w:p>
    <w:p w14:paraId="0B6DCFB7" w14:textId="77777777" w:rsidR="00F17524" w:rsidRDefault="00F17524" w:rsidP="00F17524">
      <w:pPr>
        <w:pStyle w:val="TableListHeading"/>
        <w:sectPr w:rsidR="00F17524" w:rsidSect="00F17524">
          <w:type w:val="continuous"/>
          <w:pgSz w:w="11906" w:h="16838"/>
          <w:pgMar w:top="1418" w:right="1418" w:bottom="1134" w:left="1418" w:header="708" w:footer="708" w:gutter="0"/>
          <w:cols w:num="2" w:space="708"/>
          <w:docGrid w:linePitch="360"/>
        </w:sectPr>
      </w:pPr>
    </w:p>
    <w:p w14:paraId="5B95B6BF" w14:textId="77777777" w:rsidR="00F17524" w:rsidRPr="001F6170" w:rsidRDefault="00F17524" w:rsidP="00F17524">
      <w:pPr>
        <w:pStyle w:val="TableListHeading"/>
      </w:pPr>
      <w:r w:rsidRPr="001F6170">
        <w:t xml:space="preserve">Empfehlung beim Einsatz vom Film: </w:t>
      </w:r>
    </w:p>
    <w:p w14:paraId="19909E32" w14:textId="77777777" w:rsidR="00F17524" w:rsidRPr="001F6170" w:rsidRDefault="00F17524" w:rsidP="00F17524">
      <w:pPr>
        <w:pStyle w:val="ListParagraph"/>
      </w:pPr>
      <w:r w:rsidRPr="001F6170">
        <w:t>Kapitel 13 (Gryffindor gegen Ravenclaw) – komplett lesen</w:t>
      </w:r>
    </w:p>
    <w:p w14:paraId="5C11B1B7" w14:textId="77777777" w:rsidR="00F17524" w:rsidRPr="001F6170" w:rsidRDefault="00F17524" w:rsidP="00F17524">
      <w:pPr>
        <w:pStyle w:val="ListParagraph"/>
      </w:pPr>
      <w:r w:rsidRPr="001F6170">
        <w:t>Kapitel 14 (Snapes Groll) - Filmausschnitt von Minute 1:13:14 bis 1:19:12</w:t>
      </w:r>
    </w:p>
    <w:p w14:paraId="2DDB933F" w14:textId="77777777" w:rsidR="00F17524" w:rsidRPr="001F6170" w:rsidRDefault="00F17524" w:rsidP="00F17524">
      <w:pPr>
        <w:pStyle w:val="ListParagraph"/>
      </w:pPr>
      <w:r w:rsidRPr="001F6170">
        <w:t xml:space="preserve">Kapitel 15 (Das Finale) </w:t>
      </w:r>
    </w:p>
    <w:p w14:paraId="5BACA297" w14:textId="77777777" w:rsidR="00F17524" w:rsidRPr="001F6170" w:rsidRDefault="00F17524" w:rsidP="00F17524">
      <w:pPr>
        <w:pStyle w:val="ListParagraph"/>
        <w:numPr>
          <w:ilvl w:val="1"/>
          <w:numId w:val="7"/>
        </w:numPr>
      </w:pPr>
      <w:r w:rsidRPr="001F6170">
        <w:t>Letzte zwei Sätze von Kapitel 14 lesen (S.300): „Hagrid hat den Prozess verloren. Sie werden Seidenschnabel hinrichten.“</w:t>
      </w:r>
    </w:p>
    <w:p w14:paraId="08E6585F" w14:textId="77777777" w:rsidR="00F17524" w:rsidRPr="001F6170" w:rsidRDefault="00F17524" w:rsidP="00F17524">
      <w:pPr>
        <w:pStyle w:val="ListParagraph"/>
        <w:numPr>
          <w:ilvl w:val="1"/>
          <w:numId w:val="7"/>
        </w:numPr>
      </w:pPr>
      <w:r w:rsidRPr="001F6170">
        <w:t>Kapitel 15 komplett lesen</w:t>
      </w:r>
    </w:p>
    <w:p w14:paraId="07D8DC01" w14:textId="77777777" w:rsidR="00F17524" w:rsidRPr="001F6170" w:rsidRDefault="00F17524" w:rsidP="00F17524">
      <w:pPr>
        <w:pStyle w:val="ListParagraph"/>
      </w:pPr>
      <w:r w:rsidRPr="001F6170">
        <w:t xml:space="preserve">Kapitel 16 (Professor Trelawneys Vorhersage) </w:t>
      </w:r>
    </w:p>
    <w:p w14:paraId="257CBB47" w14:textId="77777777" w:rsidR="00F17524" w:rsidRPr="001F6170" w:rsidRDefault="00F17524" w:rsidP="00F17524">
      <w:pPr>
        <w:pStyle w:val="ListParagraph"/>
        <w:numPr>
          <w:ilvl w:val="1"/>
          <w:numId w:val="7"/>
        </w:numPr>
      </w:pPr>
      <w:r w:rsidRPr="001F6170">
        <w:t>Lesen von Kapitelanfang bis S.336 „Hermine steckt den Kopf durch den Türspalt.“</w:t>
      </w:r>
    </w:p>
    <w:p w14:paraId="3D294D03" w14:textId="77777777" w:rsidR="00F17524" w:rsidRPr="001F6170" w:rsidRDefault="00F17524" w:rsidP="00F17524">
      <w:pPr>
        <w:pStyle w:val="ListParagraph"/>
        <w:numPr>
          <w:ilvl w:val="1"/>
          <w:numId w:val="7"/>
        </w:numPr>
      </w:pPr>
      <w:r w:rsidRPr="001F6170">
        <w:t>Filmausschnitt von Minute 1:22:28 bis 1:27:31</w:t>
      </w:r>
    </w:p>
    <w:sectPr w:rsidR="00F17524" w:rsidRPr="001F6170" w:rsidSect="00F17524">
      <w:type w:val="continuous"/>
      <w:pgSz w:w="11906" w:h="16838"/>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153F8" w14:textId="77777777" w:rsidR="00954143" w:rsidRDefault="00954143" w:rsidP="00C87DF2">
      <w:r>
        <w:separator/>
      </w:r>
    </w:p>
  </w:endnote>
  <w:endnote w:type="continuationSeparator" w:id="0">
    <w:p w14:paraId="764D5293" w14:textId="77777777" w:rsidR="00954143" w:rsidRDefault="00954143" w:rsidP="00C8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0D13CE0C-D8AF-4C95-8677-232F81807C03}"/>
    <w:embedBold r:id="rId2" w:fontKey="{811C4FD0-D068-44B6-A052-2D6956CED4A3}"/>
    <w:embedItalic r:id="rId3" w:fontKey="{16068C50-B4A9-4338-AA10-8C10833402E6}"/>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4DD7C1B7-5144-4BBA-AF04-75D7E87F6039}"/>
  </w:font>
  <w:font w:name="Lato">
    <w:panose1 w:val="020F0502020204030203"/>
    <w:charset w:val="00"/>
    <w:family w:val="swiss"/>
    <w:pitch w:val="variable"/>
    <w:sig w:usb0="800000AF" w:usb1="4000604A" w:usb2="00000000" w:usb3="00000000" w:csb0="00000093" w:csb1="00000000"/>
    <w:embedRegular r:id="rId5" w:fontKey="{56694C8C-C0DD-480C-9EF7-7FFF13524943}"/>
    <w:embedBold r:id="rId6" w:fontKey="{C28DB28E-14C2-4138-9C74-C1DA98587D67}"/>
    <w:embedItalic r:id="rId7" w:fontKey="{D703C39C-F336-46AD-AE6F-8EFF6A04100F}"/>
    <w:embedBoldItalic r:id="rId8" w:fontKey="{A1E1BDBE-22D8-4F90-B62A-4223D3DB4B56}"/>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3181E" w14:textId="77777777" w:rsidR="00954143" w:rsidRDefault="00954143" w:rsidP="00C87DF2">
      <w:r>
        <w:separator/>
      </w:r>
    </w:p>
  </w:footnote>
  <w:footnote w:type="continuationSeparator" w:id="0">
    <w:p w14:paraId="130737C1" w14:textId="77777777" w:rsidR="00954143" w:rsidRDefault="00954143" w:rsidP="00C87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24"/>
    <w:rsid w:val="000B0223"/>
    <w:rsid w:val="00111CAC"/>
    <w:rsid w:val="0012598E"/>
    <w:rsid w:val="0015405A"/>
    <w:rsid w:val="00154BAE"/>
    <w:rsid w:val="00223797"/>
    <w:rsid w:val="00233DB1"/>
    <w:rsid w:val="00242660"/>
    <w:rsid w:val="002F3F56"/>
    <w:rsid w:val="003C7E9F"/>
    <w:rsid w:val="00413F7F"/>
    <w:rsid w:val="004830FB"/>
    <w:rsid w:val="004C466D"/>
    <w:rsid w:val="004E54E1"/>
    <w:rsid w:val="00525C47"/>
    <w:rsid w:val="005C27E4"/>
    <w:rsid w:val="00601D1C"/>
    <w:rsid w:val="006946D5"/>
    <w:rsid w:val="006D3506"/>
    <w:rsid w:val="0071381E"/>
    <w:rsid w:val="00754804"/>
    <w:rsid w:val="007B7274"/>
    <w:rsid w:val="007E3E4D"/>
    <w:rsid w:val="007E753D"/>
    <w:rsid w:val="00954143"/>
    <w:rsid w:val="00A46A6F"/>
    <w:rsid w:val="00B1372E"/>
    <w:rsid w:val="00B274FF"/>
    <w:rsid w:val="00C24004"/>
    <w:rsid w:val="00C31487"/>
    <w:rsid w:val="00C47E13"/>
    <w:rsid w:val="00C629B6"/>
    <w:rsid w:val="00C87DF2"/>
    <w:rsid w:val="00CD1419"/>
    <w:rsid w:val="00D04C67"/>
    <w:rsid w:val="00D42CEE"/>
    <w:rsid w:val="00DE124B"/>
    <w:rsid w:val="00E61A1B"/>
    <w:rsid w:val="00E72889"/>
    <w:rsid w:val="00F17524"/>
    <w:rsid w:val="00F467E5"/>
    <w:rsid w:val="00F8374D"/>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3E2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C87DF2"/>
    <w:pPr>
      <w:tabs>
        <w:tab w:val="center" w:pos="4513"/>
        <w:tab w:val="right" w:pos="9026"/>
      </w:tabs>
    </w:pPr>
  </w:style>
  <w:style w:type="character" w:customStyle="1" w:styleId="HeaderChar">
    <w:name w:val="Header Char"/>
    <w:basedOn w:val="DefaultParagraphFont"/>
    <w:link w:val="Header"/>
    <w:uiPriority w:val="99"/>
    <w:rsid w:val="00C87DF2"/>
    <w:rPr>
      <w:rFonts w:asciiTheme="minorHAnsi" w:hAnsiTheme="minorHAnsi"/>
      <w:kern w:val="2"/>
      <w:sz w:val="23"/>
      <w14:ligatures w14:val="standardContextual"/>
    </w:rPr>
  </w:style>
  <w:style w:type="paragraph" w:styleId="Footer">
    <w:name w:val="footer"/>
    <w:basedOn w:val="Normal"/>
    <w:link w:val="FooterChar"/>
    <w:uiPriority w:val="99"/>
    <w:unhideWhenUsed/>
    <w:rsid w:val="00C87DF2"/>
    <w:pPr>
      <w:tabs>
        <w:tab w:val="center" w:pos="4513"/>
        <w:tab w:val="right" w:pos="9026"/>
      </w:tabs>
    </w:pPr>
  </w:style>
  <w:style w:type="character" w:customStyle="1" w:styleId="FooterChar">
    <w:name w:val="Footer Char"/>
    <w:basedOn w:val="DefaultParagraphFont"/>
    <w:link w:val="Footer"/>
    <w:uiPriority w:val="99"/>
    <w:rsid w:val="00C87DF2"/>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2024-06-17T18:34:00Z</dcterms:created>
  <dcterms:modified xsi:type="dcterms:W3CDTF">2024-06-18T21:01:00Z</dcterms:modified>
</cp:coreProperties>
</file>